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69" w:rsidRPr="004425E0" w:rsidRDefault="009A4369" w:rsidP="009A4369">
      <w:pPr>
        <w:widowControl w:val="0"/>
        <w:tabs>
          <w:tab w:val="left" w:pos="1134"/>
        </w:tabs>
        <w:suppressAutoHyphens/>
        <w:spacing w:after="0" w:line="240" w:lineRule="auto"/>
        <w:ind w:firstLine="851"/>
        <w:jc w:val="center"/>
        <w:rPr>
          <w:rFonts w:ascii="Times New Roman" w:hAnsi="Times New Roman"/>
          <w:sz w:val="24"/>
        </w:rPr>
      </w:pPr>
      <w:r w:rsidRPr="004425E0">
        <w:rPr>
          <w:rFonts w:ascii="Times New Roman" w:hAnsi="Times New Roman"/>
          <w:sz w:val="24"/>
        </w:rPr>
        <w:t>ИНФОРМАЦИОННАЯ КАРТА КОНКУРСА</w:t>
      </w:r>
    </w:p>
    <w:p w:rsidR="009A4369" w:rsidRPr="004425E0" w:rsidRDefault="009A4369" w:rsidP="009A4369">
      <w:pPr>
        <w:widowControl w:val="0"/>
        <w:tabs>
          <w:tab w:val="left" w:pos="1134"/>
        </w:tabs>
        <w:suppressAutoHyphens/>
        <w:spacing w:after="0" w:line="240" w:lineRule="auto"/>
        <w:ind w:firstLine="851"/>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81"/>
        <w:gridCol w:w="6293"/>
      </w:tblGrid>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Организаторы</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w:t>
            </w:r>
            <w:bookmarkStart w:id="0" w:name="_GoBack"/>
            <w:bookmarkEnd w:id="0"/>
            <w:r w:rsidRPr="00267ECF">
              <w:rPr>
                <w:rFonts w:ascii="Times New Roman" w:hAnsi="Times New Roman"/>
                <w:sz w:val="24"/>
              </w:rPr>
              <w:t>нимательства) и Управление по социально-экономическому развитию села Администрации Томского района</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22</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Адрес местонахождения уполномоченного охрана в сфере развития малого и среднего предпринимательства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634050, ул. </w:t>
            </w:r>
            <w:proofErr w:type="spellStart"/>
            <w:r w:rsidRPr="00267ECF">
              <w:rPr>
                <w:rFonts w:ascii="Times New Roman" w:hAnsi="Times New Roman"/>
                <w:sz w:val="24"/>
              </w:rPr>
              <w:t>К.Маркса</w:t>
            </w:r>
            <w:proofErr w:type="spellEnd"/>
            <w:r w:rsidRPr="00267ECF">
              <w:rPr>
                <w:rFonts w:ascii="Times New Roman" w:hAnsi="Times New Roman"/>
                <w:sz w:val="24"/>
              </w:rPr>
              <w:t>, 56, г. Томск</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33</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Контактные телефоны</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8 (3822) 40-85-73</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8 (3822) 40-8</w:t>
            </w:r>
            <w:r>
              <w:rPr>
                <w:rFonts w:ascii="Times New Roman" w:hAnsi="Times New Roman"/>
                <w:sz w:val="24"/>
              </w:rPr>
              <w:t>6</w:t>
            </w:r>
            <w:r w:rsidRPr="00267ECF">
              <w:rPr>
                <w:rFonts w:ascii="Times New Roman" w:hAnsi="Times New Roman"/>
                <w:sz w:val="24"/>
              </w:rPr>
              <w:t>-</w:t>
            </w:r>
            <w:r>
              <w:rPr>
                <w:rFonts w:ascii="Times New Roman" w:hAnsi="Times New Roman"/>
                <w:sz w:val="24"/>
              </w:rPr>
              <w:t>22</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44</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Контактные e-</w:t>
            </w:r>
            <w:proofErr w:type="spellStart"/>
            <w:r w:rsidRPr="00267ECF">
              <w:rPr>
                <w:rFonts w:ascii="Times New Roman" w:hAnsi="Times New Roman"/>
                <w:sz w:val="24"/>
              </w:rPr>
              <w:t>mail</w:t>
            </w:r>
            <w:proofErr w:type="spellEnd"/>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164DCB" w:rsidP="002B2361">
            <w:pPr>
              <w:widowControl w:val="0"/>
              <w:tabs>
                <w:tab w:val="left" w:pos="1134"/>
              </w:tabs>
              <w:suppressAutoHyphens/>
              <w:spacing w:after="0" w:line="240" w:lineRule="auto"/>
              <w:ind w:firstLine="421"/>
              <w:jc w:val="both"/>
              <w:rPr>
                <w:rFonts w:ascii="Times New Roman" w:hAnsi="Times New Roman"/>
                <w:sz w:val="24"/>
              </w:rPr>
            </w:pPr>
            <w:hyperlink r:id="rId5" w:history="1">
              <w:r w:rsidR="009A4369" w:rsidRPr="00267ECF">
                <w:rPr>
                  <w:rStyle w:val="a3"/>
                  <w:rFonts w:ascii="Times New Roman" w:hAnsi="Times New Roman"/>
                  <w:sz w:val="24"/>
                </w:rPr>
                <w:t>market@atr.tomsk.gov.ru</w:t>
              </w:r>
            </w:hyperlink>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55</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Участники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Субъекты малого и среднего предпринимательства, соответствующие требованиям Федерального </w:t>
            </w:r>
            <w:hyperlink r:id="rId6" w:history="1">
              <w:r w:rsidRPr="00267ECF">
                <w:rPr>
                  <w:rFonts w:ascii="Times New Roman" w:hAnsi="Times New Roman"/>
                  <w:sz w:val="24"/>
                </w:rPr>
                <w:t>закона</w:t>
              </w:r>
            </w:hyperlink>
            <w:r w:rsidRPr="00267ECF">
              <w:rPr>
                <w:rFonts w:ascii="Times New Roman" w:hAnsi="Times New Roman"/>
                <w:sz w:val="24"/>
              </w:rPr>
              <w:t xml:space="preserve"> от 24 июля 2007 года N 209-ФЗ «О развитии малого и среднего предпринимательства в Российской Федерации»</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66</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Цель и результаты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77</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Источник финансирования</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Средства бюджета Томского района, областного и федерального бюджетов</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88</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Язык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Русский</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99</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Валюта заявки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Рубль</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110</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Процедура вскрытия конвертов с заявками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421"/>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Конверты с заявками вскрываются на </w:t>
            </w:r>
            <w:r>
              <w:rPr>
                <w:rFonts w:ascii="Times New Roman" w:hAnsi="Times New Roman"/>
                <w:sz w:val="24"/>
              </w:rPr>
              <w:t xml:space="preserve">втором </w:t>
            </w:r>
            <w:r w:rsidRPr="00267ECF">
              <w:rPr>
                <w:rFonts w:ascii="Times New Roman" w:hAnsi="Times New Roman"/>
                <w:sz w:val="24"/>
              </w:rPr>
              <w:t>заседании Конкурсной комиссии</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111</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Необходимое количество экземпляров заявки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1 экземпляр - оригинал заявки</w:t>
            </w:r>
          </w:p>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bookmarkStart w:id="1" w:name="Par431"/>
            <w:bookmarkEnd w:id="1"/>
            <w:r w:rsidRPr="00267ECF">
              <w:rPr>
                <w:rFonts w:ascii="Times New Roman" w:hAnsi="Times New Roman"/>
                <w:sz w:val="24"/>
              </w:rPr>
              <w:t>112</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Требования к участникам Конкурса</w:t>
            </w:r>
          </w:p>
        </w:tc>
        <w:tc>
          <w:tcPr>
            <w:tcW w:w="6293" w:type="dxa"/>
            <w:tcBorders>
              <w:top w:val="single" w:sz="4" w:space="0" w:color="auto"/>
              <w:left w:val="single" w:sz="4" w:space="0" w:color="auto"/>
              <w:right w:val="single" w:sz="4" w:space="0" w:color="auto"/>
            </w:tcBorders>
          </w:tcPr>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 xml:space="preserve">К участию в Конкурсе допускаются субъекты малого и среднего предпринимательства, соответствующие требованиям Федерального </w:t>
            </w:r>
            <w:hyperlink r:id="rId7" w:history="1">
              <w:r w:rsidRPr="00E25ABD">
                <w:rPr>
                  <w:rFonts w:ascii="Times New Roman" w:hAnsi="Times New Roman"/>
                  <w:sz w:val="24"/>
                </w:rPr>
                <w:t>закона</w:t>
              </w:r>
            </w:hyperlink>
            <w:r w:rsidRPr="00E25ABD">
              <w:rPr>
                <w:rFonts w:ascii="Times New Roman" w:hAnsi="Times New Roman"/>
                <w:sz w:val="24"/>
              </w:rPr>
              <w:t xml:space="preserve"> от 24 июля 2007 года N 209-ФЗ "О развитии малого и среднего </w:t>
            </w:r>
            <w:r w:rsidRPr="00E25ABD">
              <w:rPr>
                <w:rFonts w:ascii="Times New Roman" w:hAnsi="Times New Roman"/>
                <w:sz w:val="24"/>
              </w:rPr>
              <w:lastRenderedPageBreak/>
              <w:t>предпринимательства в Российской Федерации", которые соответствуют следующим требованиям:</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proofErr w:type="gramStart"/>
            <w:r w:rsidRPr="00E25ABD">
              <w:rPr>
                <w:rFonts w:ascii="Times New Roman" w:hAnsi="Times New Roman"/>
                <w:sz w:val="24"/>
              </w:rP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roofErr w:type="gramEnd"/>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б)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 xml:space="preserve">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rsidRPr="00E25ABD">
              <w:rPr>
                <w:rFonts w:ascii="Times New Roman" w:hAnsi="Times New Roman"/>
                <w:sz w:val="24"/>
              </w:rPr>
              <w:t>размера оплаты труда</w:t>
            </w:r>
            <w:proofErr w:type="gramEnd"/>
            <w:r w:rsidRPr="00E25ABD">
              <w:rPr>
                <w:rFonts w:ascii="Times New Roman" w:hAnsi="Times New Roman"/>
                <w:sz w:val="24"/>
              </w:rPr>
              <w:t xml:space="preserve"> с учетом </w:t>
            </w:r>
            <w:r>
              <w:rPr>
                <w:rFonts w:ascii="Times New Roman" w:hAnsi="Times New Roman"/>
                <w:sz w:val="24"/>
              </w:rPr>
              <w:t xml:space="preserve">соответствующего </w:t>
            </w:r>
            <w:r w:rsidRPr="00E25ABD">
              <w:rPr>
                <w:rFonts w:ascii="Times New Roman" w:hAnsi="Times New Roman"/>
                <w:sz w:val="24"/>
              </w:rPr>
              <w:t>районного коэффициента;</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proofErr w:type="gramStart"/>
            <w:r w:rsidRPr="00E25ABD">
              <w:rPr>
                <w:rFonts w:ascii="Times New Roman" w:hAnsi="Times New Roman"/>
                <w:sz w:val="24"/>
              </w:rPr>
              <w:t>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форме №7 согласно приложению к настоящему Положению (далее - форма №7),  сохранять свой бизнес и реализовывать свой предпринимательский проект не</w:t>
            </w:r>
            <w:proofErr w:type="gramEnd"/>
            <w:r w:rsidRPr="00E25ABD">
              <w:rPr>
                <w:rFonts w:ascii="Times New Roman" w:hAnsi="Times New Roman"/>
                <w:sz w:val="24"/>
              </w:rPr>
              <w:t xml:space="preserve">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w:t>
            </w:r>
            <w:proofErr w:type="gramStart"/>
            <w:r w:rsidRPr="00E25ABD">
              <w:rPr>
                <w:rFonts w:ascii="Times New Roman" w:hAnsi="Times New Roman"/>
                <w:sz w:val="24"/>
              </w:rPr>
              <w:t>субсидии срока завершения выполнения предпринимательского проекта</w:t>
            </w:r>
            <w:proofErr w:type="gramEnd"/>
            <w:r w:rsidRPr="00E25ABD">
              <w:rPr>
                <w:rFonts w:ascii="Times New Roman" w:hAnsi="Times New Roman"/>
                <w:sz w:val="24"/>
              </w:rPr>
              <w:t>. Итоговый отчет включает исчерпывающий и детальный отчет о выполнении предпринимательского проекта и оценку достигнутых результатов  по форме №7;</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е) обеспечат достижение финансово-экономических показателей и календарного плана предпринимательского проекта;</w:t>
            </w:r>
          </w:p>
          <w:p w:rsidR="009A4369" w:rsidRPr="00E25ABD"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E25ABD">
              <w:rPr>
                <w:rFonts w:ascii="Times New Roman" w:hAnsi="Times New Roman"/>
                <w:sz w:val="24"/>
              </w:rPr>
              <w:t xml:space="preserve">ж) обеспечат увеличение и сохранение в течение периода реализации предпринимательского проекта численности </w:t>
            </w:r>
            <w:proofErr w:type="gramStart"/>
            <w:r w:rsidRPr="00E25ABD">
              <w:rPr>
                <w:rFonts w:ascii="Times New Roman" w:hAnsi="Times New Roman"/>
                <w:sz w:val="24"/>
              </w:rPr>
              <w:t>занятых</w:t>
            </w:r>
            <w:proofErr w:type="gramEnd"/>
            <w:r w:rsidRPr="00E25ABD">
              <w:rPr>
                <w:rFonts w:ascii="Times New Roman" w:hAnsi="Times New Roman"/>
                <w:sz w:val="24"/>
              </w:rPr>
              <w:t xml:space="preserve"> не менее 1 единицы.</w:t>
            </w:r>
          </w:p>
          <w:p w:rsidR="009A4369" w:rsidRDefault="009A4369" w:rsidP="002B2361">
            <w:pPr>
              <w:widowControl w:val="0"/>
              <w:tabs>
                <w:tab w:val="left" w:pos="421"/>
              </w:tabs>
              <w:suppressAutoHyphens/>
              <w:spacing w:after="0" w:line="240" w:lineRule="auto"/>
              <w:ind w:firstLine="421"/>
              <w:jc w:val="both"/>
              <w:rPr>
                <w:rFonts w:ascii="Times New Roman" w:hAnsi="Times New Roman"/>
                <w:sz w:val="24"/>
              </w:rPr>
            </w:pPr>
            <w:proofErr w:type="gramStart"/>
            <w:r w:rsidRPr="00E25ABD">
              <w:rPr>
                <w:rFonts w:ascii="Times New Roman" w:hAnsi="Times New Roman"/>
                <w:sz w:val="24"/>
              </w:rPr>
              <w:lastRenderedPageBreak/>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w:t>
            </w:r>
            <w:proofErr w:type="gramEnd"/>
            <w:r w:rsidRPr="00E25ABD">
              <w:rPr>
                <w:rFonts w:ascii="Times New Roman" w:hAnsi="Times New Roman"/>
                <w:sz w:val="24"/>
              </w:rPr>
              <w:t xml:space="preserve"> уставном (складочном) </w:t>
            </w:r>
            <w:proofErr w:type="gramStart"/>
            <w:r w:rsidRPr="00E25ABD">
              <w:rPr>
                <w:rFonts w:ascii="Times New Roman" w:hAnsi="Times New Roman"/>
                <w:sz w:val="24"/>
              </w:rPr>
              <w:t>капитале</w:t>
            </w:r>
            <w:proofErr w:type="gramEnd"/>
            <w:r w:rsidRPr="00E25ABD">
              <w:rPr>
                <w:rFonts w:ascii="Times New Roman" w:hAnsi="Times New Roman"/>
                <w:sz w:val="24"/>
              </w:rPr>
              <w:t xml:space="preserve"> которых доля участия офшорных компаний в совокупности превышает 50 процентов</w:t>
            </w:r>
            <w:r>
              <w:rPr>
                <w:rFonts w:ascii="Times New Roman" w:hAnsi="Times New Roman"/>
                <w:sz w:val="24"/>
              </w:rPr>
              <w:t>.</w:t>
            </w:r>
          </w:p>
          <w:p w:rsidR="009A4369" w:rsidRPr="00E25ABD" w:rsidRDefault="009A4369" w:rsidP="002B2361">
            <w:pPr>
              <w:widowControl w:val="0"/>
              <w:tabs>
                <w:tab w:val="left" w:pos="421"/>
              </w:tabs>
              <w:suppressAutoHyphens/>
              <w:spacing w:after="0" w:line="240" w:lineRule="auto"/>
              <w:ind w:firstLine="421"/>
              <w:jc w:val="both"/>
              <w:rPr>
                <w:rFonts w:ascii="Times New Roman" w:hAnsi="Times New Roman"/>
                <w:sz w:val="24"/>
              </w:rPr>
            </w:pPr>
            <w:r w:rsidRPr="00F3570E">
              <w:rPr>
                <w:rFonts w:ascii="Times New Roman" w:hAnsi="Times New Roman"/>
                <w:sz w:val="24"/>
              </w:rPr>
              <w:t>Не допускаются к участию в Конкурсе субъекты малого и среднего предпринимательства, ранее получавшие муниципальную финансо</w:t>
            </w:r>
            <w:r>
              <w:rPr>
                <w:rFonts w:ascii="Times New Roman" w:hAnsi="Times New Roman"/>
                <w:sz w:val="24"/>
              </w:rPr>
              <w:t>вую поддержку в рамках Конкурса.</w:t>
            </w:r>
          </w:p>
          <w:p w:rsidR="009A4369" w:rsidRPr="00267ECF" w:rsidRDefault="009A4369" w:rsidP="002B2361">
            <w:pPr>
              <w:widowControl w:val="0"/>
              <w:tabs>
                <w:tab w:val="left" w:pos="421"/>
              </w:tabs>
              <w:suppressAutoHyphens/>
              <w:spacing w:after="0" w:line="240" w:lineRule="auto"/>
              <w:ind w:firstLine="421"/>
              <w:jc w:val="both"/>
              <w:rPr>
                <w:rFonts w:ascii="Times New Roman" w:hAnsi="Times New Roman"/>
                <w:sz w:val="24"/>
              </w:rPr>
            </w:pPr>
            <w:r w:rsidRPr="00E25ABD">
              <w:rPr>
                <w:rFonts w:ascii="Times New Roman" w:hAnsi="Times New Roman"/>
                <w:sz w:val="24"/>
              </w:rPr>
              <w:t>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ОКВЭД, определенным Конкурсной комиссией.</w:t>
            </w:r>
            <w:r>
              <w:rPr>
                <w:rFonts w:ascii="Times New Roman" w:hAnsi="Times New Roman"/>
                <w:sz w:val="24"/>
              </w:rPr>
              <w:t xml:space="preserve"> </w:t>
            </w:r>
          </w:p>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bookmarkStart w:id="2" w:name="Par463"/>
            <w:bookmarkEnd w:id="2"/>
            <w:r w:rsidRPr="00267ECF">
              <w:rPr>
                <w:rFonts w:ascii="Times New Roman" w:hAnsi="Times New Roman"/>
                <w:sz w:val="24"/>
              </w:rPr>
              <w:lastRenderedPageBreak/>
              <w:t>113</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Перечень документов, предоставляемых в составе заявки</w:t>
            </w:r>
          </w:p>
        </w:tc>
        <w:tc>
          <w:tcPr>
            <w:tcW w:w="6293"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1. Заявление на участие в Конкурсе по </w:t>
            </w:r>
            <w:hyperlink w:anchor="Par570" w:history="1">
              <w:r w:rsidRPr="00267ECF">
                <w:rPr>
                  <w:rFonts w:ascii="Times New Roman" w:hAnsi="Times New Roman"/>
                  <w:sz w:val="24"/>
                </w:rPr>
                <w:t>форме N 1</w:t>
              </w:r>
            </w:hyperlink>
            <w:r w:rsidRPr="00267ECF">
              <w:rPr>
                <w:rFonts w:ascii="Times New Roman" w:hAnsi="Times New Roman"/>
                <w:sz w:val="24"/>
              </w:rP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3. 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4. Технико-экономическое обоснование (бизнес-план предпринимательского проекта, претендующего на получение субсидии).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5. Основные финансово-экономические показатели предпринимательского проекта, претендующего на муниципальную поддержку в форме субсидии, по </w:t>
            </w:r>
            <w:hyperlink w:anchor="Par658" w:history="1">
              <w:r w:rsidRPr="00267ECF">
                <w:rPr>
                  <w:rFonts w:ascii="Times New Roman" w:hAnsi="Times New Roman"/>
                  <w:sz w:val="24"/>
                </w:rPr>
                <w:t>форме N 2</w:t>
              </w:r>
            </w:hyperlink>
            <w:r w:rsidRPr="00267ECF">
              <w:rPr>
                <w:rFonts w:ascii="Times New Roman" w:hAnsi="Times New Roman"/>
                <w:sz w:val="24"/>
              </w:rPr>
              <w:t xml:space="preserve"> приложения к Положению, утвержденному </w:t>
            </w:r>
            <w:r w:rsidRPr="00267ECF">
              <w:rPr>
                <w:rFonts w:ascii="Times New Roman" w:hAnsi="Times New Roman"/>
                <w:sz w:val="24"/>
              </w:rPr>
              <w:lastRenderedPageBreak/>
              <w:t>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6. Смета расходов на реализацию предпринимательского проекта, представленного для участия в Конкурсе, по </w:t>
            </w:r>
            <w:hyperlink w:anchor="Par733" w:history="1">
              <w:r w:rsidRPr="00267ECF">
                <w:rPr>
                  <w:rFonts w:ascii="Times New Roman" w:hAnsi="Times New Roman"/>
                  <w:sz w:val="24"/>
                </w:rPr>
                <w:t>форме N 3</w:t>
              </w:r>
            </w:hyperlink>
            <w:r w:rsidRPr="00267ECF">
              <w:rPr>
                <w:rFonts w:ascii="Times New Roman" w:hAnsi="Times New Roman"/>
                <w:sz w:val="24"/>
              </w:rP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tc>
      </w:tr>
      <w:tr w:rsidR="009A4369" w:rsidRPr="00267ECF" w:rsidTr="002B2361">
        <w:tc>
          <w:tcPr>
            <w:tcW w:w="397"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2381"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6293"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7. Копии документов, подтверждающих уровень оплаты труда наемных работников на момент подачи заявки в Конкурсе, заверенные руководителем.</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8. Копии документов, подтверждающих вложение собственных денежных сре</w:t>
            </w:r>
            <w:proofErr w:type="gramStart"/>
            <w:r w:rsidRPr="00267ECF">
              <w:rPr>
                <w:rFonts w:ascii="Times New Roman" w:hAnsi="Times New Roman"/>
                <w:sz w:val="24"/>
              </w:rPr>
              <w:t>дств в р</w:t>
            </w:r>
            <w:proofErr w:type="gramEnd"/>
            <w:r w:rsidRPr="00267ECF">
              <w:rPr>
                <w:rFonts w:ascii="Times New Roman" w:hAnsi="Times New Roman"/>
                <w:sz w:val="24"/>
              </w:rPr>
              <w:t>еализацию проекта, заверенные руководителем проекта (товарно-кассовые чеки, договоры, платежные поручения, свидетельство о собственности и т.п.).</w:t>
            </w:r>
          </w:p>
          <w:p w:rsidR="009A4369" w:rsidRPr="00267ECF" w:rsidRDefault="009A4369" w:rsidP="002B2361">
            <w:pPr>
              <w:widowControl w:val="0"/>
              <w:tabs>
                <w:tab w:val="left" w:pos="988"/>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9. Календарный план реализации предпринимательского проекта, представленного для участия в Конкурсе, по </w:t>
            </w:r>
            <w:hyperlink w:anchor="Par812" w:history="1">
              <w:r w:rsidRPr="00267ECF">
                <w:rPr>
                  <w:rFonts w:ascii="Times New Roman" w:hAnsi="Times New Roman"/>
                  <w:sz w:val="24"/>
                </w:rPr>
                <w:t>форме N 4</w:t>
              </w:r>
            </w:hyperlink>
            <w:r w:rsidRPr="00267ECF">
              <w:rPr>
                <w:rFonts w:ascii="Times New Roman" w:hAnsi="Times New Roman"/>
                <w:sz w:val="24"/>
              </w:rP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10. Иные документы по усмотрению участника, подтверждающие перспективность проекта для Томского района.</w:t>
            </w:r>
          </w:p>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114</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Подготовка и оформление заявки на конкурс</w:t>
            </w:r>
          </w:p>
        </w:tc>
        <w:tc>
          <w:tcPr>
            <w:tcW w:w="6293"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1. Подготовка заявки: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а) заявки подготавливаются участниками в соответствии с условиями проведения Конкурса и требованиями настоящего Положения;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ar463" w:history="1">
              <w:r w:rsidRPr="00267ECF">
                <w:rPr>
                  <w:rFonts w:ascii="Times New Roman" w:hAnsi="Times New Roman"/>
                  <w:sz w:val="24"/>
                </w:rPr>
                <w:t>пункте 13</w:t>
              </w:r>
            </w:hyperlink>
            <w:r w:rsidRPr="00267ECF">
              <w:rPr>
                <w:rFonts w:ascii="Times New Roman" w:hAnsi="Times New Roman"/>
                <w:sz w:val="24"/>
              </w:rPr>
              <w:t xml:space="preserve">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в) расходы по подготовке заявки несет участник;</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г) расходы участника на подготовку заявки не подлежат возмещению со стороны организаторов.</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2. Оформление и подача заявки: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а) участник должен подготовить документы, входящие в заявку, в соответствии с перечнем документов, установленным в </w:t>
            </w:r>
            <w:hyperlink w:anchor="Par393" w:history="1">
              <w:r w:rsidRPr="00267ECF">
                <w:rPr>
                  <w:rFonts w:ascii="Times New Roman" w:hAnsi="Times New Roman"/>
                  <w:sz w:val="24"/>
                </w:rPr>
                <w:t>разделе 9</w:t>
              </w:r>
            </w:hyperlink>
            <w:r w:rsidRPr="00267ECF">
              <w:rPr>
                <w:rFonts w:ascii="Times New Roman" w:hAnsi="Times New Roman"/>
                <w:sz w:val="24"/>
              </w:rPr>
              <w:t xml:space="preserve"> настоящего Положения.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Заявка должна быть сформирована в одну или несколько папок, страницы которых пронумерованы, прошиты (или сброшюрованы) и скреплены печатью (в </w:t>
            </w:r>
            <w:r w:rsidRPr="00267ECF">
              <w:rPr>
                <w:rFonts w:ascii="Times New Roman" w:hAnsi="Times New Roman"/>
                <w:sz w:val="24"/>
              </w:rPr>
              <w:lastRenderedPageBreak/>
              <w:t xml:space="preserve">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ar393" w:history="1">
              <w:r w:rsidRPr="00267ECF">
                <w:rPr>
                  <w:rFonts w:ascii="Times New Roman" w:hAnsi="Times New Roman"/>
                  <w:sz w:val="24"/>
                </w:rPr>
                <w:t>разделе 9</w:t>
              </w:r>
            </w:hyperlink>
            <w:r w:rsidRPr="00267ECF">
              <w:rPr>
                <w:rFonts w:ascii="Times New Roman" w:hAnsi="Times New Roman"/>
                <w:sz w:val="24"/>
              </w:rPr>
              <w:t xml:space="preserve">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б) дополнения или поправки, внесенные в документы в составе заявки, должны быть заверены лицом, подписавшим соответствующий документ;</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в) участники запечатывают заявку в конверт.</w:t>
            </w:r>
          </w:p>
        </w:tc>
      </w:tr>
      <w:tr w:rsidR="009A4369" w:rsidRPr="00267ECF" w:rsidTr="002B2361">
        <w:tc>
          <w:tcPr>
            <w:tcW w:w="397"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2381"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6293" w:type="dxa"/>
            <w:tcBorders>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На конверте указываются: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наименование уполномоченного органа в сфере развития малого и среднего предпринимательства;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слова «На конкурс предпринимательских проектов «Развитие»;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слова «Вскрывается Конкурсной комиссией по проведению конкурса предпринимательских проектов «Развитие»;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3. Внесение изменений в заявки и отзыв заявок:</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tc>
      </w:tr>
      <w:tr w:rsidR="009A4369" w:rsidRPr="00267ECF" w:rsidTr="002B2361">
        <w:tc>
          <w:tcPr>
            <w:tcW w:w="397" w:type="dxa"/>
            <w:tcBorders>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2381" w:type="dxa"/>
            <w:tcBorders>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p>
        </w:tc>
        <w:tc>
          <w:tcPr>
            <w:tcW w:w="6293" w:type="dxa"/>
            <w:tcBorders>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д) по истечении установленного срока приема заявок внесение изменений в них не допускается.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Заявки участников Конкурса, не признанные Победителями Конкурса, возвращаются по требованию участника.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не </w:t>
            </w:r>
            <w:proofErr w:type="gramStart"/>
            <w:r w:rsidRPr="00267ECF">
              <w:rPr>
                <w:rFonts w:ascii="Times New Roman" w:hAnsi="Times New Roman"/>
                <w:sz w:val="24"/>
              </w:rPr>
              <w:t>позднее</w:t>
            </w:r>
            <w:proofErr w:type="gramEnd"/>
            <w:r w:rsidRPr="00267ECF">
              <w:rPr>
                <w:rFonts w:ascii="Times New Roman" w:hAnsi="Times New Roman"/>
                <w:sz w:val="24"/>
              </w:rPr>
              <w:t xml:space="preserve"> чем за три дня до окончания срока приема заявок.</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115</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Критерии оценки заявок</w:t>
            </w:r>
          </w:p>
        </w:tc>
        <w:tc>
          <w:tcPr>
            <w:tcW w:w="6293"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u w:val="single"/>
              </w:rPr>
            </w:pPr>
            <w:r w:rsidRPr="00267ECF">
              <w:rPr>
                <w:rFonts w:ascii="Times New Roman" w:hAnsi="Times New Roman"/>
                <w:sz w:val="24"/>
                <w:u w:val="single"/>
              </w:rPr>
              <w:t>к качественным критериям оценки заявок относятся:</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а) детальный план реализации предпринимательского проекта в краткосрочной перспективе (до одного года);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б) увеличение объема налоговых поступлений в бюджет и государственные внебюджетные фонды;</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в) прогноз прироста объемов производства продукции (выполнения работ, оказания услуг);</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г) механизмы </w:t>
            </w:r>
            <w:proofErr w:type="gramStart"/>
            <w:r w:rsidRPr="00267ECF">
              <w:rPr>
                <w:rFonts w:ascii="Times New Roman" w:hAnsi="Times New Roman"/>
                <w:sz w:val="24"/>
              </w:rPr>
              <w:t>контроля за</w:t>
            </w:r>
            <w:proofErr w:type="gramEnd"/>
            <w:r w:rsidRPr="00267ECF">
              <w:rPr>
                <w:rFonts w:ascii="Times New Roman" w:hAnsi="Times New Roman"/>
                <w:sz w:val="24"/>
              </w:rPr>
              <w:t xml:space="preserve"> ходом реализации проекта и целевым использованием средств;</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д) соответствие проекта направлениям социально-экономического развития Томского района.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Критерии оценки заявок оцениваются по каждому критерию отдельно по шкале от 0 до 3 баллов;</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u w:val="single"/>
              </w:rPr>
              <w:t>к количественным критериям оценки заявок относятся</w:t>
            </w:r>
            <w:r w:rsidRPr="00267ECF">
              <w:rPr>
                <w:rFonts w:ascii="Times New Roman" w:hAnsi="Times New Roman"/>
                <w:sz w:val="24"/>
              </w:rPr>
              <w:t>:</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а) вложение собственных </w:t>
            </w:r>
            <w:r>
              <w:rPr>
                <w:rFonts w:ascii="Times New Roman" w:hAnsi="Times New Roman"/>
                <w:sz w:val="24"/>
              </w:rPr>
              <w:t xml:space="preserve">денежных </w:t>
            </w:r>
            <w:r w:rsidRPr="00267ECF">
              <w:rPr>
                <w:rFonts w:ascii="Times New Roman" w:hAnsi="Times New Roman"/>
                <w:sz w:val="24"/>
              </w:rPr>
              <w:t>сре</w:t>
            </w:r>
            <w:proofErr w:type="gramStart"/>
            <w:r w:rsidRPr="00267ECF">
              <w:rPr>
                <w:rFonts w:ascii="Times New Roman" w:hAnsi="Times New Roman"/>
                <w:sz w:val="24"/>
              </w:rPr>
              <w:t xml:space="preserve">дств в </w:t>
            </w:r>
            <w:r w:rsidRPr="00267ECF">
              <w:rPr>
                <w:rFonts w:ascii="Times New Roman" w:hAnsi="Times New Roman"/>
                <w:sz w:val="24"/>
              </w:rPr>
              <w:lastRenderedPageBreak/>
              <w:t>р</w:t>
            </w:r>
            <w:proofErr w:type="gramEnd"/>
            <w:r w:rsidRPr="00267ECF">
              <w:rPr>
                <w:rFonts w:ascii="Times New Roman" w:hAnsi="Times New Roman"/>
                <w:sz w:val="24"/>
              </w:rPr>
              <w:t>еализацию предпринимательского проекта от суммы запрашиваемой субсидии: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в размере от 20 до 50 процентов - 1 балл;</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в размере от 51 до 100 процентов - 2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в размере свыше 100 процентов - 3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создание от одного до трех новых рабочих мест - 1 балл;</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создание от четырех до семи рабочих мест - 2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создание от восьми до двенадцати рабочих мест - 3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создание свыше тринадцати рабочих мест - 4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в) новизна предпринимательского проекта:</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есть аналоги производства продукции (выполнения работ, оказания услуг) в Томском районе - 0 баллов;</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нет аналогов производства продукции (выполнения работ, оказания услуг) в Томском районе - 1 балл;</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г) развитие предпринимательства отдельными целевыми группами:</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молодежное предпринимательство (до 3</w:t>
            </w:r>
            <w:r>
              <w:rPr>
                <w:rFonts w:ascii="Times New Roman" w:hAnsi="Times New Roman"/>
                <w:sz w:val="24"/>
              </w:rPr>
              <w:t>5</w:t>
            </w:r>
            <w:r w:rsidRPr="00267ECF">
              <w:rPr>
                <w:rFonts w:ascii="Times New Roman" w:hAnsi="Times New Roman"/>
                <w:sz w:val="24"/>
              </w:rPr>
              <w:t xml:space="preserve"> лет) - 1 балл.</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lastRenderedPageBreak/>
              <w:t>116</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Победители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117</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Условия, порядок предоставления субсидии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Субсидия предоставляется при наличии предпринимательского проекта, оцениваемого комиссией по проведению Конкурса</w:t>
            </w:r>
            <w:r>
              <w:rPr>
                <w:rFonts w:ascii="Times New Roman" w:hAnsi="Times New Roman"/>
                <w:sz w:val="24"/>
              </w:rPr>
              <w:t xml:space="preserve"> </w:t>
            </w:r>
            <w:r w:rsidRPr="00E25ABD">
              <w:rPr>
                <w:rFonts w:ascii="Times New Roman" w:hAnsi="Times New Roman"/>
                <w:sz w:val="24"/>
              </w:rPr>
              <w:t>в соответствии с настоящим Положением</w:t>
            </w:r>
            <w:r>
              <w:rPr>
                <w:rFonts w:ascii="Times New Roman" w:hAnsi="Times New Roman"/>
                <w:sz w:val="24"/>
              </w:rPr>
              <w:t xml:space="preserve"> </w:t>
            </w:r>
          </w:p>
        </w:tc>
      </w:tr>
    </w:tbl>
    <w:p w:rsidR="00935AC1" w:rsidRDefault="00164DCB"/>
    <w:sectPr w:rsidR="0093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69"/>
    <w:rsid w:val="00164DCB"/>
    <w:rsid w:val="00956C07"/>
    <w:rsid w:val="009A4369"/>
    <w:rsid w:val="00DB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36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3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21983359C81980CE287B0E23C9258B9603FBEABEE6E14070DCDDCECEa5A2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21983359C81980CE287B0E23C9258B9603FBEABEE6E14070DCDDCECEa5A2C" TargetMode="External"/><Relationship Id="rId5" Type="http://schemas.openxmlformats.org/officeDocument/2006/relationships/hyperlink" Target="mailto:market@atr.toms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2</cp:revision>
  <cp:lastPrinted>2020-06-30T02:44:00Z</cp:lastPrinted>
  <dcterms:created xsi:type="dcterms:W3CDTF">2020-06-30T02:43:00Z</dcterms:created>
  <dcterms:modified xsi:type="dcterms:W3CDTF">2020-06-30T09:31:00Z</dcterms:modified>
</cp:coreProperties>
</file>